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推荐作品类型: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禁毒题材的书法、绘画、摄影、手工艺品等艺术作品。禁毒艺术作品根据需要附带作品说明。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禁毒题材公益广告作品:平面类作品、视频类作品、广播类作品。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推荐作品要求: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作品应当以“健康人生、绿色无毒”“防范毒品滥用危害”“新型毒品对青少年的危害”“禁毒是全社会的共同责任”等为主题，营造出全社会支持、参与禁毒斗争的浓厚氛围。作品可以是单个作品，也可以是系列作品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作品应当正面宣传禁毒工作的重要意义，充分体现毒品的危害，注重宣传的艺术效果。要有鲜明的主题导向，思想性、创意性突出，寓意深刻。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3.公益广告类作品不得在画面、语音或标版中显示报送人、制作人、投资人等信息。公益广告类作品均需填写作者原创承诺书，随作品同时报送。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作品应为单位或者个人原创，并且同意用于禁毒宣传教育工作，如非原创，所产生的法律责任由作品的作者承担。所有参赛作品请自留原稿，参赛作品原则上不予退还，特殊作品如需退还的，请特别标注。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5.活动主办方对公益广告类作品除颁发荣誉证书和认购外，不再另行支付任何费用，并拥有对作品的修改、改编等非商业性再创作和用于公益宣传的权利。</w:t>
      </w:r>
    </w:p>
    <w:p/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“三晋最美禁毒艺术作品”(禁毒公益广告类)规格要求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一、平面类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报送的平面广告作品须刻录在光盘上，尺寸为八3幅面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同一作品须存为两种格式:一种格式为jpg，色彩模式为RGB，不低于300dpi5MB;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一种格式为tiff，色彩模式为CMYK，不低于300dpi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5MB。文件名称为“作品名称十RGB或CMYK”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光盘盒上须顺序注明类别(平面类)和报送单位全称。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1.每个单件平面广告作品须刻录一张光盘。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2.平面广告参赛作品设系列(两幅以上视为系列，含两幅)的，每个系列作品须刻录在同一张光盘上。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3.每个单件或系列广告作品须填写两张参赛作品登记表，在作品光盘中另附一份电子版参赛表。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二、视频类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报送的视频公益广告作品须以数据格式录制在DVD光盘上，存储格式为H264MOV，分辨率1920X1080。每一件或一个系列广告须刻录一张光盘，光盘盒上须顺序注明类别(视频类)和报送单位全称。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1.每个单件视频广告作品须刻录一张光盘。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2.视频广告参赛作品设系列(两条以上视为系列，含两条)的，每个系列作品须刻录在同一张光盘上。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3.每个单件或系列广告作品须填写两张参赛作品登记表，在作品光盘中另附一份电子版参赛表。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三、广播类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报送的广播公益广告作品须以数据格式录制在DVD光盘上，储存格式为MP3(每张光盘只能刻录一个广告作品)，光盘盒上须顺序注明类别(广播类)和报送单位全称。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1.每个单件广播广告作品须刻录一张光盘。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2.广播广告参赛作品设系列(两条以上视为系列，含两条)的，每个系列作品须刻录在同一张光盘上。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3.每个单件或系列广告作品须填写两张参赛作品登记表，在作品光盘中另附一份电子版参赛表。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4.每条广播类广告附一份文案。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VkOGJiYzAxYzA2Mjg4Zjc2ZThhYzk2NDM0Y2UifQ=="/>
  </w:docVars>
  <w:rsids>
    <w:rsidRoot w:val="48071650"/>
    <w:rsid w:val="10DF1155"/>
    <w:rsid w:val="22B3129D"/>
    <w:rsid w:val="460B2BDE"/>
    <w:rsid w:val="48071650"/>
    <w:rsid w:val="5DC023B8"/>
    <w:rsid w:val="6A5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1178</Characters>
  <Lines>0</Lines>
  <Paragraphs>0</Paragraphs>
  <TotalTime>7</TotalTime>
  <ScaleCrop>false</ScaleCrop>
  <LinksUpToDate>false</LinksUpToDate>
  <CharactersWithSpaces>1213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2022-05-19T08:13:00Z</dcterms:created>
  <dc:creator>宋文娟</dc:creator>
  <cp:lastModifiedBy>胖企鹅</cp:lastModifiedBy>
  <dcterms:modified xsi:type="dcterms:W3CDTF">2022-05-23T16:33:46Z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B75D122D0AFF47198B503AD03BC17DDA</vt:lpwstr>
  </property>
</Properties>
</file>